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eastAsia="宋体" w:cs="宋体"/>
          <w:lang w:eastAsia="zh-CN"/>
        </w:rPr>
      </w:pPr>
      <w:r>
        <w:rPr>
          <w:rFonts w:hint="eastAsia" w:ascii="宋体" w:hAnsi="宋体" w:cs="宋体"/>
          <w:b/>
          <w:sz w:val="30"/>
          <w:szCs w:val="30"/>
        </w:rPr>
        <w:t xml:space="preserve"> </w:t>
      </w:r>
      <w:bookmarkStart w:id="0" w:name="OLE_LINK1"/>
      <w:r>
        <w:rPr>
          <w:rFonts w:hint="eastAsia" w:ascii="宋体" w:hAnsi="宋体" w:cs="宋体"/>
          <w:b/>
          <w:sz w:val="30"/>
          <w:szCs w:val="30"/>
        </w:rPr>
        <w:t>招标公告</w:t>
      </w:r>
      <w:r>
        <w:rPr>
          <w:rFonts w:hint="eastAsia" w:ascii="宋体" w:hAnsi="宋体" w:cs="宋体"/>
          <w:b/>
          <w:sz w:val="30"/>
          <w:szCs w:val="30"/>
          <w:lang w:eastAsia="zh-CN"/>
        </w:rPr>
        <w:t>（</w:t>
      </w:r>
      <w:r>
        <w:rPr>
          <w:rFonts w:hint="eastAsia" w:ascii="宋体" w:hAnsi="宋体" w:cs="宋体"/>
          <w:b/>
          <w:sz w:val="30"/>
          <w:szCs w:val="30"/>
          <w:lang w:val="en-US" w:eastAsia="zh-CN"/>
        </w:rPr>
        <w:t>第二次</w:t>
      </w:r>
      <w:r>
        <w:rPr>
          <w:rFonts w:hint="eastAsia" w:ascii="宋体" w:hAnsi="宋体" w:cs="宋体"/>
          <w:b/>
          <w:sz w:val="30"/>
          <w:szCs w:val="30"/>
          <w:lang w:eastAsia="zh-CN"/>
        </w:rPr>
        <w:t>）</w:t>
      </w:r>
    </w:p>
    <w:p>
      <w:pPr>
        <w:pStyle w:val="6"/>
        <w:spacing w:before="0" w:beforeAutospacing="0" w:after="0" w:afterAutospacing="0" w:line="440" w:lineRule="exact"/>
        <w:ind w:firstLine="482" w:firstLineChars="200"/>
        <w:rPr>
          <w:rFonts w:hint="eastAsia" w:cs="宋体"/>
          <w:b/>
          <w:bCs/>
        </w:rPr>
      </w:pPr>
      <w:r>
        <w:rPr>
          <w:rFonts w:hint="eastAsia" w:cs="宋体"/>
          <w:b/>
          <w:bCs/>
        </w:rPr>
        <w:t>一．招标条件</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 工程名称：铜陵市西湖南片区邻里中心监控工程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 招标人：铜陵市城投房地产开发有限责任公司</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 资金来源：自筹资金，已落实</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4. 项目交易性质：工程设备</w:t>
      </w:r>
    </w:p>
    <w:p>
      <w:pPr>
        <w:pStyle w:val="2"/>
        <w:spacing w:line="360" w:lineRule="auto"/>
        <w:ind w:left="0" w:leftChars="0" w:firstLine="400" w:firstLineChars="0"/>
        <w:rPr>
          <w:rFonts w:hint="eastAsia" w:cs="宋体"/>
          <w:b/>
          <w:bCs/>
        </w:rPr>
      </w:pPr>
      <w:r>
        <w:rPr>
          <w:rFonts w:hint="eastAsia" w:cs="宋体"/>
          <w:b/>
          <w:bCs/>
        </w:rPr>
        <w:t>二．工程概况与招标范围</w:t>
      </w:r>
    </w:p>
    <w:p>
      <w:pPr>
        <w:pStyle w:val="2"/>
        <w:spacing w:line="360" w:lineRule="auto"/>
        <w:ind w:left="0" w:leftChars="0" w:firstLine="480"/>
        <w:rPr>
          <w:rFonts w:hint="eastAsia" w:ascii="宋体" w:hAnsi="宋体" w:cs="宋体"/>
          <w:sz w:val="24"/>
        </w:rPr>
      </w:pPr>
      <w:r>
        <w:rPr>
          <w:rFonts w:hint="eastAsia" w:ascii="宋体" w:hAnsi="宋体" w:cs="宋体"/>
          <w:sz w:val="24"/>
        </w:rPr>
        <w:t>1. 工程实施地点：</w:t>
      </w:r>
      <w:r>
        <w:rPr>
          <w:rFonts w:ascii="宋体" w:hAnsi="宋体" w:cs="宋体"/>
          <w:sz w:val="24"/>
        </w:rPr>
        <w:t>位于市翠湖二路以北、木鱼山大道以东西湖南片区邻里中心</w:t>
      </w:r>
    </w:p>
    <w:p>
      <w:pPr>
        <w:widowControl/>
        <w:spacing w:line="440" w:lineRule="exact"/>
        <w:ind w:firstLine="480" w:firstLineChars="200"/>
        <w:jc w:val="left"/>
        <w:rPr>
          <w:rFonts w:hint="eastAsia" w:ascii="宋体" w:hAnsi="宋体" w:cs="宋体"/>
          <w:sz w:val="24"/>
        </w:rPr>
      </w:pPr>
      <w:r>
        <w:rPr>
          <w:rFonts w:hint="eastAsia" w:ascii="宋体" w:hAnsi="宋体" w:cs="宋体"/>
          <w:sz w:val="24"/>
        </w:rPr>
        <w:t>2. 标段划分：一个标段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4"/>
        <w:gridCol w:w="992"/>
        <w:gridCol w:w="1985"/>
        <w:gridCol w:w="1134"/>
        <w:gridCol w:w="1794"/>
        <w:gridCol w:w="793"/>
        <w:gridCol w:w="1067"/>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7" w:hRule="atLeast"/>
          <w:jc w:val="center"/>
        </w:trPr>
        <w:tc>
          <w:tcPr>
            <w:tcW w:w="844" w:type="dxa"/>
            <w:noWrap w:val="0"/>
            <w:tcMar>
              <w:top w:w="0" w:type="dxa"/>
              <w:left w:w="108" w:type="dxa"/>
              <w:bottom w:w="0" w:type="dxa"/>
              <w:right w:w="108" w:type="dxa"/>
            </w:tcMar>
            <w:vAlign w:val="center"/>
          </w:tcPr>
          <w:p>
            <w:pPr>
              <w:widowControl/>
              <w:spacing w:line="340" w:lineRule="atLeast"/>
              <w:jc w:val="center"/>
              <w:rPr>
                <w:rFonts w:hint="eastAsia" w:ascii="宋体" w:hAnsi="宋体" w:cs="宋体"/>
                <w:kern w:val="0"/>
                <w:sz w:val="18"/>
                <w:szCs w:val="18"/>
              </w:rPr>
            </w:pPr>
            <w:r>
              <w:rPr>
                <w:rFonts w:hint="eastAsia" w:ascii="宋体" w:hAnsi="宋体" w:cs="宋体"/>
                <w:kern w:val="0"/>
                <w:sz w:val="18"/>
                <w:szCs w:val="18"/>
              </w:rPr>
              <w:t>标段</w:t>
            </w:r>
          </w:p>
          <w:p>
            <w:pPr>
              <w:widowControl/>
              <w:spacing w:line="340" w:lineRule="atLeast"/>
              <w:jc w:val="center"/>
              <w:rPr>
                <w:rFonts w:hint="eastAsia" w:ascii="宋体" w:hAnsi="宋体" w:cs="宋体"/>
                <w:kern w:val="0"/>
                <w:sz w:val="18"/>
                <w:szCs w:val="18"/>
              </w:rPr>
            </w:pPr>
            <w:r>
              <w:rPr>
                <w:rFonts w:hint="eastAsia" w:ascii="宋体" w:hAnsi="宋体" w:cs="宋体"/>
                <w:kern w:val="0"/>
                <w:sz w:val="18"/>
                <w:szCs w:val="18"/>
              </w:rPr>
              <w:t>编号</w:t>
            </w:r>
          </w:p>
        </w:tc>
        <w:tc>
          <w:tcPr>
            <w:tcW w:w="992" w:type="dxa"/>
            <w:noWrap w:val="0"/>
            <w:tcMar>
              <w:top w:w="0" w:type="dxa"/>
              <w:left w:w="108" w:type="dxa"/>
              <w:bottom w:w="0" w:type="dxa"/>
              <w:right w:w="108" w:type="dxa"/>
            </w:tcMar>
            <w:vAlign w:val="center"/>
          </w:tcPr>
          <w:p>
            <w:pPr>
              <w:widowControl/>
              <w:spacing w:line="340" w:lineRule="atLeast"/>
              <w:jc w:val="center"/>
              <w:rPr>
                <w:rFonts w:hint="eastAsia" w:ascii="宋体" w:hAnsi="宋体" w:cs="宋体"/>
                <w:kern w:val="0"/>
                <w:sz w:val="18"/>
                <w:szCs w:val="18"/>
              </w:rPr>
            </w:pPr>
            <w:r>
              <w:rPr>
                <w:rFonts w:hint="eastAsia" w:ascii="宋体" w:hAnsi="宋体" w:cs="宋体"/>
                <w:kern w:val="0"/>
                <w:sz w:val="18"/>
                <w:szCs w:val="18"/>
              </w:rPr>
              <w:t>标段名称</w:t>
            </w:r>
          </w:p>
        </w:tc>
        <w:tc>
          <w:tcPr>
            <w:tcW w:w="1985" w:type="dxa"/>
            <w:noWrap w:val="0"/>
            <w:tcMar>
              <w:top w:w="0" w:type="dxa"/>
              <w:left w:w="108" w:type="dxa"/>
              <w:bottom w:w="0" w:type="dxa"/>
              <w:right w:w="108" w:type="dxa"/>
            </w:tcMar>
            <w:vAlign w:val="center"/>
          </w:tcPr>
          <w:p>
            <w:pPr>
              <w:widowControl/>
              <w:spacing w:line="340" w:lineRule="atLeast"/>
              <w:jc w:val="center"/>
              <w:rPr>
                <w:rFonts w:hint="eastAsia" w:ascii="宋体" w:hAnsi="宋体" w:cs="宋体"/>
                <w:kern w:val="0"/>
                <w:sz w:val="18"/>
                <w:szCs w:val="18"/>
              </w:rPr>
            </w:pPr>
            <w:r>
              <w:rPr>
                <w:rFonts w:hint="eastAsia" w:ascii="宋体" w:hAnsi="宋体" w:cs="宋体"/>
                <w:kern w:val="0"/>
                <w:sz w:val="18"/>
                <w:szCs w:val="18"/>
              </w:rPr>
              <w:t>建筑规模</w:t>
            </w:r>
          </w:p>
        </w:tc>
        <w:tc>
          <w:tcPr>
            <w:tcW w:w="1134" w:type="dxa"/>
            <w:noWrap w:val="0"/>
            <w:tcMar>
              <w:top w:w="0" w:type="dxa"/>
              <w:left w:w="108" w:type="dxa"/>
              <w:bottom w:w="0" w:type="dxa"/>
              <w:right w:w="108" w:type="dxa"/>
            </w:tcMar>
            <w:vAlign w:val="center"/>
          </w:tcPr>
          <w:p>
            <w:pPr>
              <w:widowControl/>
              <w:spacing w:line="340" w:lineRule="atLeast"/>
              <w:jc w:val="center"/>
              <w:rPr>
                <w:rFonts w:hint="eastAsia" w:ascii="宋体" w:hAnsi="宋体" w:cs="宋体"/>
                <w:kern w:val="0"/>
                <w:sz w:val="18"/>
                <w:szCs w:val="18"/>
              </w:rPr>
            </w:pPr>
            <w:r>
              <w:rPr>
                <w:rFonts w:hint="eastAsia" w:ascii="宋体" w:hAnsi="宋体" w:cs="宋体"/>
                <w:kern w:val="0"/>
                <w:sz w:val="18"/>
                <w:szCs w:val="18"/>
              </w:rPr>
              <w:t>招标控制价（最高投标限价）</w:t>
            </w:r>
          </w:p>
        </w:tc>
        <w:tc>
          <w:tcPr>
            <w:tcW w:w="1794" w:type="dxa"/>
            <w:noWrap w:val="0"/>
            <w:tcMar>
              <w:top w:w="0" w:type="dxa"/>
              <w:left w:w="108" w:type="dxa"/>
              <w:bottom w:w="0" w:type="dxa"/>
              <w:right w:w="108" w:type="dxa"/>
            </w:tcMar>
            <w:vAlign w:val="center"/>
          </w:tcPr>
          <w:p>
            <w:pPr>
              <w:widowControl/>
              <w:spacing w:line="340" w:lineRule="atLeast"/>
              <w:jc w:val="center"/>
              <w:rPr>
                <w:rFonts w:hint="eastAsia" w:ascii="宋体" w:hAnsi="宋体" w:cs="宋体"/>
                <w:kern w:val="0"/>
                <w:sz w:val="18"/>
                <w:szCs w:val="18"/>
              </w:rPr>
            </w:pPr>
            <w:r>
              <w:rPr>
                <w:rFonts w:hint="eastAsia" w:ascii="宋体" w:hAnsi="宋体" w:cs="宋体"/>
                <w:kern w:val="0"/>
                <w:sz w:val="18"/>
                <w:szCs w:val="18"/>
              </w:rPr>
              <w:t>招标范围</w:t>
            </w:r>
          </w:p>
        </w:tc>
        <w:tc>
          <w:tcPr>
            <w:tcW w:w="793" w:type="dxa"/>
            <w:noWrap w:val="0"/>
            <w:tcMar>
              <w:top w:w="0" w:type="dxa"/>
              <w:left w:w="108" w:type="dxa"/>
              <w:bottom w:w="0" w:type="dxa"/>
              <w:right w:w="108" w:type="dxa"/>
            </w:tcMar>
            <w:vAlign w:val="center"/>
          </w:tcPr>
          <w:p>
            <w:pPr>
              <w:widowControl/>
              <w:spacing w:line="340" w:lineRule="atLeast"/>
              <w:jc w:val="center"/>
              <w:rPr>
                <w:rFonts w:hint="eastAsia" w:ascii="宋体" w:hAnsi="宋体" w:cs="宋体"/>
                <w:kern w:val="0"/>
                <w:sz w:val="18"/>
                <w:szCs w:val="18"/>
              </w:rPr>
            </w:pPr>
            <w:r>
              <w:rPr>
                <w:rFonts w:hint="eastAsia" w:ascii="宋体" w:hAnsi="宋体" w:cs="宋体"/>
                <w:kern w:val="0"/>
                <w:sz w:val="18"/>
                <w:szCs w:val="18"/>
              </w:rPr>
              <w:t>工期（天）</w:t>
            </w:r>
          </w:p>
        </w:tc>
        <w:tc>
          <w:tcPr>
            <w:tcW w:w="1067" w:type="dxa"/>
            <w:noWrap w:val="0"/>
            <w:tcMar>
              <w:top w:w="0" w:type="dxa"/>
              <w:left w:w="108" w:type="dxa"/>
              <w:bottom w:w="0" w:type="dxa"/>
              <w:right w:w="108" w:type="dxa"/>
            </w:tcMar>
            <w:vAlign w:val="center"/>
          </w:tcPr>
          <w:p>
            <w:pPr>
              <w:widowControl/>
              <w:spacing w:line="340" w:lineRule="atLeast"/>
              <w:jc w:val="center"/>
              <w:rPr>
                <w:rFonts w:hint="eastAsia" w:ascii="宋体" w:hAnsi="宋体" w:cs="宋体"/>
                <w:kern w:val="0"/>
                <w:sz w:val="18"/>
                <w:szCs w:val="18"/>
              </w:rPr>
            </w:pPr>
            <w:r>
              <w:rPr>
                <w:rFonts w:hint="eastAsia" w:ascii="宋体" w:hAnsi="宋体" w:cs="宋体"/>
                <w:kern w:val="0"/>
                <w:sz w:val="18"/>
                <w:szCs w:val="18"/>
              </w:rPr>
              <w:t>实施地点</w:t>
            </w:r>
          </w:p>
        </w:tc>
        <w:tc>
          <w:tcPr>
            <w:tcW w:w="731" w:type="dxa"/>
            <w:noWrap w:val="0"/>
            <w:tcMar>
              <w:top w:w="0" w:type="dxa"/>
              <w:left w:w="108" w:type="dxa"/>
              <w:bottom w:w="0" w:type="dxa"/>
              <w:right w:w="108" w:type="dxa"/>
            </w:tcMar>
            <w:vAlign w:val="center"/>
          </w:tcPr>
          <w:p>
            <w:pPr>
              <w:widowControl/>
              <w:spacing w:line="340" w:lineRule="atLeast"/>
              <w:jc w:val="center"/>
              <w:rPr>
                <w:rFonts w:hint="eastAsia" w:ascii="宋体" w:hAnsi="宋体" w:cs="宋体"/>
                <w:kern w:val="0"/>
                <w:sz w:val="18"/>
                <w:szCs w:val="18"/>
              </w:rPr>
            </w:pPr>
            <w:r>
              <w:rPr>
                <w:rFonts w:hint="eastAsia" w:ascii="宋体" w:hAnsi="宋体" w:cs="宋体"/>
                <w:kern w:val="0"/>
                <w:sz w:val="18"/>
                <w:szCs w:val="18"/>
              </w:rPr>
              <w:t>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6" w:hRule="atLeast"/>
          <w:jc w:val="center"/>
        </w:trPr>
        <w:tc>
          <w:tcPr>
            <w:tcW w:w="844" w:type="dxa"/>
            <w:noWrap w:val="0"/>
            <w:tcMar>
              <w:top w:w="0" w:type="dxa"/>
              <w:left w:w="108" w:type="dxa"/>
              <w:bottom w:w="0" w:type="dxa"/>
              <w:right w:w="108" w:type="dxa"/>
            </w:tcMar>
            <w:vAlign w:val="center"/>
          </w:tcPr>
          <w:p>
            <w:pPr>
              <w:widowControl/>
              <w:spacing w:line="340" w:lineRule="atLeast"/>
              <w:jc w:val="center"/>
              <w:rPr>
                <w:rFonts w:hint="eastAsia" w:ascii="宋体" w:hAnsi="宋体" w:eastAsia="宋体" w:cs="宋体"/>
                <w:kern w:val="0"/>
                <w:sz w:val="18"/>
                <w:szCs w:val="15"/>
                <w:lang w:eastAsia="zh-CN"/>
              </w:rPr>
            </w:pPr>
            <w:r>
              <w:rPr>
                <w:rFonts w:ascii="宋体" w:hAnsi="宋体" w:cs="宋体"/>
                <w:kern w:val="0"/>
                <w:sz w:val="18"/>
                <w:szCs w:val="15"/>
              </w:rPr>
              <w:t>HYZB-2021-00</w:t>
            </w:r>
            <w:r>
              <w:rPr>
                <w:rFonts w:hint="eastAsia" w:ascii="宋体" w:hAnsi="宋体" w:cs="宋体"/>
                <w:kern w:val="0"/>
                <w:sz w:val="18"/>
                <w:szCs w:val="15"/>
                <w:lang w:val="en-US" w:eastAsia="zh-CN"/>
              </w:rPr>
              <w:t>3</w:t>
            </w:r>
          </w:p>
        </w:tc>
        <w:tc>
          <w:tcPr>
            <w:tcW w:w="992" w:type="dxa"/>
            <w:noWrap w:val="0"/>
            <w:tcMar>
              <w:top w:w="0" w:type="dxa"/>
              <w:left w:w="108" w:type="dxa"/>
              <w:bottom w:w="0" w:type="dxa"/>
              <w:right w:w="108" w:type="dxa"/>
            </w:tcMar>
            <w:vAlign w:val="center"/>
          </w:tcPr>
          <w:p>
            <w:pPr>
              <w:widowControl/>
              <w:spacing w:line="340" w:lineRule="atLeast"/>
              <w:jc w:val="center"/>
              <w:rPr>
                <w:rFonts w:hint="eastAsia" w:ascii="宋体" w:hAnsi="宋体" w:cs="宋体"/>
                <w:sz w:val="18"/>
                <w:szCs w:val="15"/>
              </w:rPr>
            </w:pPr>
            <w:r>
              <w:rPr>
                <w:rFonts w:hint="eastAsia" w:ascii="宋体" w:hAnsi="宋体" w:cs="宋体"/>
                <w:sz w:val="18"/>
                <w:szCs w:val="15"/>
              </w:rPr>
              <w:t>铜陵市西湖南片区邻里中心监控工程</w:t>
            </w:r>
          </w:p>
        </w:tc>
        <w:tc>
          <w:tcPr>
            <w:tcW w:w="1985" w:type="dxa"/>
            <w:noWrap w:val="0"/>
            <w:tcMar>
              <w:top w:w="0" w:type="dxa"/>
              <w:left w:w="108" w:type="dxa"/>
              <w:bottom w:w="0" w:type="dxa"/>
              <w:right w:w="108" w:type="dxa"/>
            </w:tcMar>
            <w:vAlign w:val="center"/>
          </w:tcPr>
          <w:p>
            <w:pPr>
              <w:pStyle w:val="5"/>
              <w:snapToGrid w:val="0"/>
              <w:spacing w:line="360" w:lineRule="auto"/>
              <w:ind w:firstLine="0" w:firstLineChars="0"/>
              <w:rPr>
                <w:rFonts w:ascii="宋体" w:hAnsi="宋体" w:cs="宋体"/>
                <w:sz w:val="18"/>
                <w:szCs w:val="15"/>
              </w:rPr>
            </w:pPr>
            <w:r>
              <w:rPr>
                <w:rFonts w:hint="eastAsia" w:ascii="宋体" w:hAnsi="宋体" w:cs="宋体"/>
                <w:sz w:val="18"/>
                <w:szCs w:val="15"/>
              </w:rPr>
              <w:t>铜陵市西湖南片区邻里中心监控工程，包括但不限于：（1）电气部分由室外监控系统、地库监控系统、地库自行车停车库充电桩配电系统组成。（2）4#楼2层弱电机房内除与监控系统后台设备及其管线在本次招标范围以外，其余部分不在本次招标范围。</w:t>
            </w:r>
          </w:p>
        </w:tc>
        <w:tc>
          <w:tcPr>
            <w:tcW w:w="1134" w:type="dxa"/>
            <w:noWrap w:val="0"/>
            <w:tcMar>
              <w:top w:w="0" w:type="dxa"/>
              <w:left w:w="108" w:type="dxa"/>
              <w:bottom w:w="0" w:type="dxa"/>
              <w:right w:w="108" w:type="dxa"/>
            </w:tcMar>
            <w:vAlign w:val="center"/>
          </w:tcPr>
          <w:p>
            <w:pPr>
              <w:widowControl/>
              <w:spacing w:line="340" w:lineRule="atLeast"/>
              <w:jc w:val="center"/>
              <w:rPr>
                <w:rFonts w:hint="eastAsia" w:ascii="宋体" w:hAnsi="宋体" w:cs="宋体"/>
                <w:kern w:val="0"/>
                <w:sz w:val="18"/>
                <w:szCs w:val="15"/>
              </w:rPr>
            </w:pPr>
            <w:r>
              <w:rPr>
                <w:rFonts w:ascii="宋体" w:hAnsi="宋体" w:cs="宋体"/>
                <w:sz w:val="18"/>
                <w:szCs w:val="18"/>
              </w:rPr>
              <w:t>1460208.95</w:t>
            </w:r>
            <w:r>
              <w:rPr>
                <w:rFonts w:hint="eastAsia" w:ascii="宋体" w:hAnsi="宋体" w:cs="宋体"/>
                <w:sz w:val="18"/>
                <w:szCs w:val="18"/>
                <w:shd w:val="clear" w:color="FFFFFF" w:fill="auto"/>
              </w:rPr>
              <w:t>元(含暂列金额13万元)</w:t>
            </w:r>
          </w:p>
        </w:tc>
        <w:tc>
          <w:tcPr>
            <w:tcW w:w="1794" w:type="dxa"/>
            <w:noWrap w:val="0"/>
            <w:tcMar>
              <w:top w:w="0" w:type="dxa"/>
              <w:left w:w="108" w:type="dxa"/>
              <w:bottom w:w="0" w:type="dxa"/>
              <w:right w:w="108" w:type="dxa"/>
            </w:tcMar>
            <w:vAlign w:val="center"/>
          </w:tcPr>
          <w:p>
            <w:pPr>
              <w:widowControl/>
              <w:spacing w:line="340" w:lineRule="atLeast"/>
              <w:rPr>
                <w:rFonts w:hint="eastAsia" w:ascii="宋体" w:hAnsi="宋体" w:cs="宋体"/>
                <w:sz w:val="18"/>
                <w:szCs w:val="15"/>
              </w:rPr>
            </w:pPr>
            <w:r>
              <w:rPr>
                <w:rFonts w:hint="eastAsia" w:ascii="宋体" w:hAnsi="宋体" w:cs="宋体"/>
                <w:sz w:val="18"/>
                <w:szCs w:val="15"/>
              </w:rPr>
              <w:t>具体详见图纸及工程量清单中所载明内容。</w:t>
            </w:r>
          </w:p>
        </w:tc>
        <w:tc>
          <w:tcPr>
            <w:tcW w:w="793" w:type="dxa"/>
            <w:noWrap w:val="0"/>
            <w:tcMar>
              <w:top w:w="0" w:type="dxa"/>
              <w:left w:w="108" w:type="dxa"/>
              <w:bottom w:w="0" w:type="dxa"/>
              <w:right w:w="108" w:type="dxa"/>
            </w:tcMar>
            <w:vAlign w:val="center"/>
          </w:tcPr>
          <w:p>
            <w:pPr>
              <w:widowControl/>
              <w:spacing w:line="340" w:lineRule="atLeast"/>
              <w:rPr>
                <w:rFonts w:hint="eastAsia" w:ascii="宋体" w:hAnsi="宋体" w:cs="宋体"/>
                <w:color w:val="FF0000"/>
                <w:sz w:val="18"/>
                <w:szCs w:val="15"/>
              </w:rPr>
            </w:pPr>
            <w:r>
              <w:rPr>
                <w:rFonts w:hint="eastAsia" w:ascii="宋体" w:hAnsi="宋体" w:cs="宋体"/>
                <w:color w:val="333333"/>
                <w:szCs w:val="21"/>
                <w:shd w:val="clear" w:color="auto" w:fill="FFFFFF"/>
              </w:rPr>
              <w:t>合同计划工期</w:t>
            </w:r>
            <w:r>
              <w:rPr>
                <w:rFonts w:hint="eastAsia" w:ascii="宋体" w:hAnsi="宋体" w:cs="宋体"/>
                <w:szCs w:val="21"/>
                <w:u w:val="single"/>
              </w:rPr>
              <w:t>60</w:t>
            </w:r>
            <w:r>
              <w:rPr>
                <w:rFonts w:hint="eastAsia" w:ascii="宋体" w:hAnsi="宋体" w:cs="宋体"/>
                <w:szCs w:val="21"/>
              </w:rPr>
              <w:t>日历天</w:t>
            </w:r>
          </w:p>
        </w:tc>
        <w:tc>
          <w:tcPr>
            <w:tcW w:w="1067" w:type="dxa"/>
            <w:noWrap w:val="0"/>
            <w:tcMar>
              <w:top w:w="0" w:type="dxa"/>
              <w:left w:w="108" w:type="dxa"/>
              <w:bottom w:w="0" w:type="dxa"/>
              <w:right w:w="108" w:type="dxa"/>
            </w:tcMar>
            <w:vAlign w:val="center"/>
          </w:tcPr>
          <w:p>
            <w:pPr>
              <w:widowControl/>
              <w:spacing w:line="340" w:lineRule="atLeast"/>
              <w:rPr>
                <w:rFonts w:hint="eastAsia" w:ascii="宋体" w:hAnsi="宋体" w:cs="宋体"/>
                <w:sz w:val="18"/>
                <w:szCs w:val="15"/>
              </w:rPr>
            </w:pPr>
            <w:r>
              <w:rPr>
                <w:rFonts w:hint="eastAsia" w:ascii="宋体" w:hAnsi="宋体" w:cs="宋体"/>
                <w:sz w:val="18"/>
                <w:szCs w:val="15"/>
              </w:rPr>
              <w:t>位于市翠湖二路以北、木鱼山大道以东西湖南片区邻里中心</w:t>
            </w:r>
          </w:p>
        </w:tc>
        <w:tc>
          <w:tcPr>
            <w:tcW w:w="731" w:type="dxa"/>
            <w:noWrap w:val="0"/>
            <w:tcMar>
              <w:top w:w="0" w:type="dxa"/>
              <w:left w:w="108" w:type="dxa"/>
              <w:bottom w:w="0" w:type="dxa"/>
              <w:right w:w="108" w:type="dxa"/>
            </w:tcMar>
            <w:vAlign w:val="center"/>
          </w:tcPr>
          <w:p>
            <w:pPr>
              <w:widowControl/>
              <w:spacing w:line="340" w:lineRule="atLeast"/>
              <w:rPr>
                <w:rFonts w:hint="eastAsia" w:ascii="宋体" w:hAnsi="宋体" w:cs="宋体"/>
                <w:color w:val="FF0000"/>
                <w:sz w:val="18"/>
                <w:szCs w:val="15"/>
              </w:rPr>
            </w:pPr>
            <w:r>
              <w:rPr>
                <w:rFonts w:hint="eastAsia" w:ascii="宋体" w:hAnsi="宋体" w:cs="宋体"/>
                <w:sz w:val="18"/>
                <w:szCs w:val="15"/>
              </w:rPr>
              <w:t>2021年4月</w:t>
            </w:r>
          </w:p>
        </w:tc>
      </w:tr>
    </w:tbl>
    <w:p>
      <w:pPr>
        <w:pStyle w:val="6"/>
        <w:spacing w:before="0" w:beforeAutospacing="0" w:after="0" w:afterAutospacing="0" w:line="440" w:lineRule="exact"/>
        <w:ind w:firstLine="482" w:firstLineChars="200"/>
        <w:rPr>
          <w:rFonts w:hint="eastAsia" w:cs="宋体"/>
          <w:b/>
          <w:bCs/>
        </w:rPr>
      </w:pPr>
      <w:r>
        <w:rPr>
          <w:rFonts w:hint="eastAsia" w:cs="宋体"/>
          <w:b/>
          <w:bCs/>
        </w:rPr>
        <w:t>三．投标人资格要求</w:t>
      </w:r>
    </w:p>
    <w:p>
      <w:pPr>
        <w:widowControl/>
        <w:spacing w:line="440" w:lineRule="exact"/>
        <w:jc w:val="left"/>
        <w:rPr>
          <w:rFonts w:hint="eastAsia" w:ascii="宋体" w:hAnsi="宋体" w:cs="宋体"/>
          <w:kern w:val="0"/>
          <w:sz w:val="24"/>
        </w:rPr>
      </w:pPr>
      <w:r>
        <w:rPr>
          <w:rFonts w:hint="eastAsia" w:ascii="宋体" w:hAnsi="宋体" w:cs="宋体"/>
          <w:kern w:val="0"/>
          <w:sz w:val="24"/>
        </w:rPr>
        <w:t xml:space="preserve">1. </w:t>
      </w:r>
      <w:r>
        <w:rPr>
          <w:rFonts w:hint="eastAsia" w:ascii="宋体" w:hAnsi="宋体" w:cs="宋体"/>
          <w:sz w:val="24"/>
        </w:rPr>
        <w:t>投标人资质要求：</w:t>
      </w:r>
    </w:p>
    <w:p>
      <w:pPr>
        <w:widowControl/>
        <w:spacing w:line="480" w:lineRule="exact"/>
        <w:ind w:firstLine="482" w:firstLineChars="200"/>
        <w:jc w:val="left"/>
        <w:rPr>
          <w:rFonts w:hint="eastAsia" w:ascii="宋体" w:hAnsi="宋体" w:cs="宋体"/>
          <w:kern w:val="0"/>
          <w:sz w:val="24"/>
        </w:rPr>
      </w:pPr>
      <w:r>
        <w:rPr>
          <w:rFonts w:hint="eastAsia" w:ascii="宋体" w:hAnsi="宋体" w:cs="宋体"/>
          <w:b/>
          <w:bCs/>
          <w:kern w:val="0"/>
          <w:sz w:val="24"/>
        </w:rPr>
        <w:t>企业资质：</w:t>
      </w:r>
      <w:bookmarkStart w:id="1" w:name="OLE_LINK3"/>
      <w:r>
        <w:rPr>
          <w:rFonts w:hint="eastAsia" w:ascii="宋体" w:hAnsi="宋体" w:cs="宋体"/>
          <w:kern w:val="0"/>
          <w:sz w:val="24"/>
        </w:rPr>
        <w:t>具有独立法人资格且能独立承担民事责任，具备有效电子与智能化工程专业承包贰级及以上资质，且具备有效的安全生产许可证</w:t>
      </w:r>
      <w:bookmarkEnd w:id="1"/>
      <w:r>
        <w:rPr>
          <w:rFonts w:hint="eastAsia" w:ascii="宋体" w:hAnsi="宋体" w:cs="宋体"/>
          <w:kern w:val="0"/>
          <w:sz w:val="24"/>
        </w:rPr>
        <w:t>。</w:t>
      </w:r>
    </w:p>
    <w:p>
      <w:pPr>
        <w:widowControl/>
        <w:spacing w:line="480" w:lineRule="exact"/>
        <w:ind w:firstLine="482" w:firstLineChars="200"/>
        <w:jc w:val="left"/>
        <w:rPr>
          <w:rFonts w:hint="eastAsia" w:ascii="宋体" w:hAnsi="宋体" w:cs="宋体"/>
          <w:kern w:val="0"/>
          <w:sz w:val="24"/>
        </w:rPr>
      </w:pPr>
      <w:r>
        <w:rPr>
          <w:rFonts w:hint="eastAsia" w:ascii="宋体" w:hAnsi="宋体" w:cs="宋体"/>
          <w:b/>
          <w:bCs/>
          <w:kern w:val="0"/>
          <w:sz w:val="24"/>
        </w:rPr>
        <w:t>人员要求：</w:t>
      </w:r>
      <w:r>
        <w:rPr>
          <w:rFonts w:hint="eastAsia" w:ascii="宋体" w:hAnsi="宋体" w:cs="宋体"/>
          <w:kern w:val="0"/>
          <w:sz w:val="24"/>
        </w:rPr>
        <w:t>投标人拟派项目经理需具备有效的机电工程专业贰级及以上注册建造师资格，且具有有效的建造师安全生产考核合格证（B类）；</w:t>
      </w:r>
    </w:p>
    <w:p>
      <w:pPr>
        <w:widowControl/>
        <w:spacing w:line="440" w:lineRule="exact"/>
        <w:jc w:val="left"/>
        <w:rPr>
          <w:rFonts w:hint="eastAsia" w:ascii="宋体" w:hAnsi="宋体" w:cs="宋体"/>
          <w:kern w:val="0"/>
          <w:sz w:val="24"/>
        </w:rPr>
      </w:pPr>
      <w:r>
        <w:rPr>
          <w:rFonts w:hint="eastAsia" w:ascii="宋体" w:hAnsi="宋体" w:cs="宋体"/>
          <w:kern w:val="0"/>
          <w:sz w:val="24"/>
        </w:rPr>
        <w:t>2. 本次招标</w:t>
      </w:r>
      <w:r>
        <w:rPr>
          <w:rFonts w:hint="eastAsia" w:ascii="宋体" w:hAnsi="宋体" w:cs="宋体"/>
          <w:kern w:val="0"/>
          <w:sz w:val="24"/>
          <w:u w:val="single"/>
        </w:rPr>
        <w:t xml:space="preserve">  不允许  </w:t>
      </w:r>
      <w:r>
        <w:rPr>
          <w:rFonts w:hint="eastAsia" w:ascii="宋体" w:hAnsi="宋体" w:cs="宋体"/>
          <w:kern w:val="0"/>
          <w:sz w:val="24"/>
        </w:rPr>
        <w:t>联合体投标；资格审查采取</w:t>
      </w:r>
      <w:r>
        <w:rPr>
          <w:rFonts w:hint="eastAsia" w:ascii="宋体" w:hAnsi="宋体" w:cs="宋体"/>
          <w:kern w:val="0"/>
          <w:sz w:val="24"/>
          <w:u w:val="single"/>
        </w:rPr>
        <w:t xml:space="preserve">  资格后审 </w:t>
      </w:r>
      <w:r>
        <w:rPr>
          <w:rFonts w:hint="eastAsia" w:ascii="宋体" w:hAnsi="宋体" w:cs="宋体"/>
          <w:kern w:val="0"/>
          <w:sz w:val="24"/>
        </w:rPr>
        <w:t>进行。</w:t>
      </w:r>
    </w:p>
    <w:p>
      <w:pPr>
        <w:widowControl/>
        <w:shd w:val="clear" w:color="auto" w:fill="F9FDFE"/>
        <w:spacing w:line="360" w:lineRule="auto"/>
        <w:jc w:val="left"/>
        <w:rPr>
          <w:rFonts w:hint="eastAsia" w:ascii="宋体" w:hAnsi="宋体" w:cs="宋体"/>
          <w:kern w:val="0"/>
          <w:sz w:val="24"/>
          <w:highlight w:val="none"/>
        </w:rPr>
      </w:pPr>
      <w:r>
        <w:rPr>
          <w:rFonts w:hint="eastAsia" w:ascii="宋体" w:hAnsi="宋体" w:cs="宋体"/>
          <w:kern w:val="0"/>
          <w:sz w:val="24"/>
          <w:highlight w:val="none"/>
        </w:rPr>
        <w:t>3.投标人不良行为记录存在下列情形之一的，不得推荐为中标候选人：</w:t>
      </w:r>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（1）被铜陵市公共资源交易监管部门记录的不良行为累计分值在10分（含）-15分（不含），且最近一次不良行为记录公布日距开标日未超过3个月；</w:t>
      </w:r>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（2）被铜陵市公共资源交易监管部门记不良行为记录累计分值在15分（含）-20分（不含），且最近一次不良行为记录公布日距开标日未超过6个月；</w:t>
      </w:r>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（3）被铜陵市公共资源交易监管部门记不良行为记录累计分值达20分（含）以上，且最近一次不良行为记录公布日距开标日未超过12个月。</w:t>
      </w:r>
    </w:p>
    <w:p>
      <w:pPr>
        <w:widowControl/>
        <w:shd w:val="clear" w:color="auto" w:fill="F9FDFE"/>
        <w:spacing w:line="360" w:lineRule="auto"/>
        <w:ind w:firstLine="480" w:firstLineChars="200"/>
        <w:jc w:val="left"/>
        <w:rPr>
          <w:rFonts w:hint="eastAsia" w:ascii="宋体" w:hAnsi="宋体" w:cs="宋体"/>
          <w:kern w:val="0"/>
          <w:sz w:val="24"/>
          <w:highlight w:val="none"/>
        </w:rPr>
      </w:pPr>
      <w:r>
        <w:rPr>
          <w:rFonts w:hint="eastAsia" w:ascii="宋体" w:hAnsi="宋体" w:cs="宋体"/>
          <w:kern w:val="0"/>
          <w:sz w:val="24"/>
          <w:highlight w:val="none"/>
        </w:rPr>
        <w:t>4.有下列失信行为之一的，不得推荐为中标候选人：</w:t>
      </w:r>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（1）投标人或拟派项目经理（项目负责人）被人民法院列入失信被执行人的；</w:t>
      </w:r>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（2）近三年内（自投标截止之日向前追溯 3 年）投标人有行贿犯罪行为的；</w:t>
      </w:r>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（3）被人力资源社会保障行政部门列入拖欠农民工工资“黑名单”的；</w:t>
      </w:r>
    </w:p>
    <w:p>
      <w:pPr>
        <w:widowControl/>
        <w:shd w:val="clear" w:color="auto" w:fill="F9FDFE"/>
        <w:spacing w:line="360" w:lineRule="auto"/>
        <w:ind w:firstLine="480" w:firstLineChars="200"/>
        <w:jc w:val="left"/>
        <w:rPr>
          <w:rFonts w:ascii="宋体" w:hAnsi="宋体" w:cs="宋体"/>
          <w:kern w:val="0"/>
          <w:sz w:val="24"/>
        </w:rPr>
      </w:pPr>
      <w:r>
        <w:rPr>
          <w:rFonts w:hint="eastAsia" w:ascii="宋体" w:hAnsi="宋体" w:cs="宋体"/>
          <w:kern w:val="0"/>
          <w:sz w:val="24"/>
        </w:rPr>
        <w:t>（4）被铜陵市住建局纳入“黑名单”管理的；</w:t>
      </w:r>
    </w:p>
    <w:p>
      <w:pPr>
        <w:widowControl/>
        <w:shd w:val="clear" w:color="auto" w:fill="F9FDFE"/>
        <w:spacing w:line="360" w:lineRule="auto"/>
        <w:ind w:firstLine="480" w:firstLineChars="200"/>
        <w:jc w:val="left"/>
        <w:rPr>
          <w:rFonts w:hint="eastAsia" w:ascii="宋体" w:hAnsi="宋体" w:cs="宋体"/>
          <w:kern w:val="0"/>
          <w:sz w:val="24"/>
        </w:rPr>
      </w:pPr>
      <w:r>
        <w:rPr>
          <w:rFonts w:hint="eastAsia" w:ascii="宋体" w:hAnsi="宋体" w:cs="宋体"/>
          <w:kern w:val="0"/>
          <w:sz w:val="24"/>
        </w:rPr>
        <w:t>（5）投标人或项目经理受到招投标行政监管部门和政府行业监管部门限制投标的行政处罚，至投标截止之日仍在处罚期内的。</w:t>
      </w:r>
    </w:p>
    <w:p>
      <w:pPr>
        <w:widowControl/>
        <w:spacing w:line="440" w:lineRule="exact"/>
        <w:ind w:firstLine="482" w:firstLineChars="200"/>
        <w:jc w:val="left"/>
        <w:rPr>
          <w:rFonts w:hint="eastAsia" w:ascii="宋体" w:hAnsi="宋体" w:cs="宋体"/>
          <w:b/>
          <w:bCs/>
          <w:kern w:val="0"/>
          <w:sz w:val="24"/>
        </w:rPr>
      </w:pPr>
      <w:r>
        <w:rPr>
          <w:rFonts w:hint="eastAsia" w:ascii="宋体" w:hAnsi="宋体" w:cs="宋体"/>
          <w:b/>
          <w:bCs/>
          <w:kern w:val="0"/>
          <w:sz w:val="24"/>
        </w:rPr>
        <w:t>四. 招标文件的获取方式</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 招标文件发售时间</w:t>
      </w:r>
      <w:r>
        <w:rPr>
          <w:rFonts w:hint="eastAsia" w:ascii="宋体" w:hAnsi="宋体" w:cs="宋体"/>
          <w:kern w:val="0"/>
          <w:sz w:val="24"/>
          <w:u w:val="single"/>
        </w:rPr>
        <w:t>：2021</w:t>
      </w:r>
      <w:r>
        <w:rPr>
          <w:rFonts w:hint="eastAsia" w:ascii="宋体" w:hAnsi="宋体" w:cs="宋体"/>
          <w:kern w:val="0"/>
          <w:sz w:val="24"/>
        </w:rPr>
        <w:t>年</w:t>
      </w:r>
      <w:r>
        <w:rPr>
          <w:rFonts w:hint="eastAsia" w:ascii="宋体" w:hAnsi="宋体" w:cs="宋体"/>
          <w:kern w:val="0"/>
          <w:sz w:val="24"/>
          <w:u w:val="single"/>
        </w:rPr>
        <w:t>4</w:t>
      </w:r>
      <w:r>
        <w:rPr>
          <w:rFonts w:hint="eastAsia" w:ascii="宋体" w:hAnsi="宋体" w:cs="宋体"/>
          <w:kern w:val="0"/>
          <w:sz w:val="24"/>
        </w:rPr>
        <w:t>月</w:t>
      </w:r>
      <w:r>
        <w:rPr>
          <w:rFonts w:hint="eastAsia" w:ascii="宋体" w:hAnsi="宋体" w:cs="宋体"/>
          <w:kern w:val="0"/>
          <w:sz w:val="24"/>
          <w:highlight w:val="none"/>
          <w:u w:val="single"/>
        </w:rPr>
        <w:t xml:space="preserve"> 14 </w:t>
      </w:r>
      <w:r>
        <w:rPr>
          <w:rFonts w:hint="eastAsia" w:ascii="宋体" w:hAnsi="宋体" w:cs="宋体"/>
          <w:kern w:val="0"/>
          <w:sz w:val="24"/>
          <w:highlight w:val="none"/>
        </w:rPr>
        <w:t>日至</w:t>
      </w:r>
      <w:r>
        <w:rPr>
          <w:rFonts w:hint="eastAsia" w:ascii="宋体" w:hAnsi="宋体" w:cs="宋体"/>
          <w:kern w:val="0"/>
          <w:sz w:val="24"/>
          <w:highlight w:val="none"/>
          <w:u w:val="single"/>
        </w:rPr>
        <w:t>2021</w:t>
      </w:r>
      <w:r>
        <w:rPr>
          <w:rFonts w:hint="eastAsia" w:ascii="宋体" w:hAnsi="宋体" w:cs="宋体"/>
          <w:kern w:val="0"/>
          <w:sz w:val="24"/>
          <w:highlight w:val="none"/>
        </w:rPr>
        <w:t>年</w:t>
      </w:r>
      <w:r>
        <w:rPr>
          <w:rFonts w:hint="eastAsia" w:ascii="宋体" w:hAnsi="宋体" w:cs="宋体"/>
          <w:kern w:val="0"/>
          <w:sz w:val="24"/>
          <w:highlight w:val="none"/>
          <w:u w:val="single"/>
        </w:rPr>
        <w:t>4</w:t>
      </w:r>
      <w:r>
        <w:rPr>
          <w:rFonts w:hint="eastAsia" w:ascii="宋体" w:hAnsi="宋体" w:cs="宋体"/>
          <w:kern w:val="0"/>
          <w:sz w:val="24"/>
          <w:highlight w:val="none"/>
        </w:rPr>
        <w:t>月</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20</w:t>
      </w:r>
      <w:r>
        <w:rPr>
          <w:rFonts w:hint="eastAsia" w:ascii="宋体" w:hAnsi="宋体" w:cs="宋体"/>
          <w:kern w:val="0"/>
          <w:sz w:val="24"/>
          <w:highlight w:val="none"/>
        </w:rPr>
        <w:t xml:space="preserve"> </w:t>
      </w:r>
      <w:r>
        <w:rPr>
          <w:rFonts w:hint="eastAsia" w:ascii="宋体" w:hAnsi="宋体" w:cs="宋体"/>
          <w:kern w:val="0"/>
          <w:sz w:val="24"/>
        </w:rPr>
        <w:t>日，每工作日上午</w:t>
      </w:r>
      <w:r>
        <w:rPr>
          <w:rFonts w:hint="eastAsia" w:ascii="宋体" w:hAnsi="宋体" w:cs="宋体"/>
          <w:kern w:val="0"/>
          <w:sz w:val="24"/>
          <w:u w:val="single"/>
        </w:rPr>
        <w:t>9:30-11:30</w:t>
      </w:r>
      <w:r>
        <w:rPr>
          <w:rFonts w:hint="eastAsia" w:ascii="宋体" w:hAnsi="宋体" w:cs="宋体"/>
          <w:kern w:val="0"/>
          <w:sz w:val="24"/>
        </w:rPr>
        <w:t>时，下午</w:t>
      </w:r>
      <w:r>
        <w:rPr>
          <w:rFonts w:hint="eastAsia" w:ascii="宋体" w:hAnsi="宋体" w:cs="宋体"/>
          <w:kern w:val="0"/>
          <w:sz w:val="24"/>
          <w:u w:val="single"/>
        </w:rPr>
        <w:t>2:30-5:00时</w:t>
      </w:r>
      <w:r>
        <w:rPr>
          <w:rFonts w:hint="eastAsia" w:ascii="宋体" w:hAnsi="宋体" w:cs="宋体"/>
          <w:kern w:val="0"/>
          <w:sz w:val="24"/>
        </w:rPr>
        <w:t>。</w:t>
      </w:r>
    </w:p>
    <w:p>
      <w:pPr>
        <w:pStyle w:val="2"/>
        <w:spacing w:line="360" w:lineRule="auto"/>
        <w:ind w:left="0" w:leftChars="0" w:firstLine="390" w:firstLineChars="0"/>
        <w:rPr>
          <w:rFonts w:hint="eastAsia" w:ascii="宋体" w:hAnsi="宋体" w:cs="宋体"/>
          <w:sz w:val="24"/>
          <w:u w:val="single"/>
        </w:rPr>
      </w:pPr>
      <w:r>
        <w:rPr>
          <w:rFonts w:hint="eastAsia" w:ascii="宋体" w:hAnsi="宋体" w:cs="宋体"/>
          <w:sz w:val="24"/>
        </w:rPr>
        <w:t>2. 招标文件获取地点：上海沪谊工程造价咨询有限公司铜陵分公司</w:t>
      </w:r>
      <w:r>
        <w:rPr>
          <w:rFonts w:hint="eastAsia" w:ascii="宋体" w:hAnsi="宋体" w:cs="宋体"/>
          <w:sz w:val="24"/>
          <w:u w:val="single"/>
        </w:rPr>
        <w:t>（详细地址：安徽省铜陵市铜官区铜都大道绿源大市场三期29#4楼）</w:t>
      </w:r>
    </w:p>
    <w:p>
      <w:pPr>
        <w:pStyle w:val="2"/>
        <w:spacing w:line="360" w:lineRule="auto"/>
        <w:ind w:left="0" w:leftChars="0" w:firstLine="390" w:firstLineChars="0"/>
        <w:rPr>
          <w:rFonts w:hint="eastAsia" w:ascii="宋体" w:hAnsi="宋体" w:cs="宋体"/>
          <w:sz w:val="24"/>
        </w:rPr>
      </w:pPr>
      <w:r>
        <w:rPr>
          <w:rFonts w:hint="eastAsia" w:ascii="宋体" w:hAnsi="宋体" w:cs="宋体"/>
          <w:sz w:val="24"/>
        </w:rPr>
        <w:t>3.招标文件发售价格：500元/份，售后不退。</w:t>
      </w:r>
    </w:p>
    <w:p>
      <w:pPr>
        <w:widowControl/>
        <w:spacing w:line="440" w:lineRule="exact"/>
        <w:ind w:firstLine="482" w:firstLineChars="200"/>
        <w:jc w:val="left"/>
        <w:rPr>
          <w:rFonts w:hint="eastAsia" w:ascii="宋体" w:hAnsi="宋体" w:cs="宋体"/>
          <w:b/>
          <w:bCs/>
          <w:kern w:val="0"/>
          <w:sz w:val="24"/>
        </w:rPr>
      </w:pPr>
      <w:r>
        <w:rPr>
          <w:rFonts w:hint="eastAsia" w:ascii="宋体" w:hAnsi="宋体" w:cs="宋体"/>
          <w:b/>
          <w:bCs/>
          <w:kern w:val="0"/>
          <w:sz w:val="24"/>
        </w:rPr>
        <w:t>五、公告媒介</w:t>
      </w:r>
    </w:p>
    <w:p>
      <w:pPr>
        <w:widowControl/>
        <w:spacing w:line="360" w:lineRule="auto"/>
        <w:ind w:firstLine="480" w:firstLineChars="200"/>
        <w:jc w:val="left"/>
        <w:rPr>
          <w:rFonts w:hint="eastAsia" w:ascii="宋体" w:hAnsi="宋体" w:cs="宋体"/>
          <w:b/>
          <w:bCs/>
          <w:sz w:val="24"/>
        </w:rPr>
      </w:pPr>
      <w:r>
        <w:rPr>
          <w:rFonts w:hint="eastAsia" w:ascii="宋体" w:hAnsi="宋体" w:cs="宋体"/>
          <w:sz w:val="24"/>
        </w:rPr>
        <w:t>本项目招标公告将在</w:t>
      </w:r>
      <w:r>
        <w:rPr>
          <w:rFonts w:hint="eastAsia" w:ascii="宋体" w:hAnsi="宋体" w:cs="宋体"/>
          <w:kern w:val="0"/>
          <w:sz w:val="24"/>
        </w:rPr>
        <w:t>铜陵市建设投资控股有限责任公司</w:t>
      </w:r>
      <w:r>
        <w:rPr>
          <w:rFonts w:hint="eastAsia" w:ascii="宋体" w:hAnsi="宋体" w:cs="宋体"/>
          <w:sz w:val="24"/>
        </w:rPr>
        <w:t>和上海沪谊工程造价咨询有限公司网站进行发布。</w:t>
      </w:r>
    </w:p>
    <w:p>
      <w:pPr>
        <w:widowControl/>
        <w:spacing w:line="440" w:lineRule="exact"/>
        <w:ind w:firstLine="422" w:firstLineChars="200"/>
        <w:jc w:val="left"/>
        <w:rPr>
          <w:rFonts w:hint="eastAsia" w:ascii="宋体" w:hAnsi="宋体" w:cs="宋体"/>
          <w:b/>
          <w:bCs/>
          <w:kern w:val="0"/>
          <w:szCs w:val="21"/>
        </w:rPr>
      </w:pPr>
      <w:r>
        <w:rPr>
          <w:rFonts w:hint="eastAsia" w:ascii="宋体" w:hAnsi="宋体" w:cs="宋体"/>
          <w:b/>
          <w:bCs/>
          <w:kern w:val="0"/>
          <w:szCs w:val="21"/>
        </w:rPr>
        <w:t>六. 联系方式</w:t>
      </w:r>
    </w:p>
    <w:bookmarkEnd w:id="0"/>
    <w:tbl>
      <w:tblPr>
        <w:tblStyle w:val="7"/>
        <w:tblW w:w="9600" w:type="dxa"/>
        <w:jc w:val="center"/>
        <w:tblLayout w:type="fixed"/>
        <w:tblCellMar>
          <w:top w:w="0" w:type="dxa"/>
          <w:left w:w="0" w:type="dxa"/>
          <w:bottom w:w="0" w:type="dxa"/>
          <w:right w:w="0" w:type="dxa"/>
        </w:tblCellMar>
      </w:tblPr>
      <w:tblGrid>
        <w:gridCol w:w="4804"/>
        <w:gridCol w:w="4796"/>
      </w:tblGrid>
      <w:tr>
        <w:tblPrEx>
          <w:tblCellMar>
            <w:top w:w="0" w:type="dxa"/>
            <w:left w:w="0" w:type="dxa"/>
            <w:bottom w:w="0" w:type="dxa"/>
            <w:right w:w="0" w:type="dxa"/>
          </w:tblCellMar>
        </w:tblPrEx>
        <w:trPr>
          <w:trHeight w:val="2417" w:hRule="atLeast"/>
          <w:jc w:val="center"/>
        </w:trPr>
        <w:tc>
          <w:tcPr>
            <w:tcW w:w="4804" w:type="dxa"/>
            <w:tcBorders>
              <w:top w:val="nil"/>
              <w:left w:val="nil"/>
              <w:bottom w:val="nil"/>
              <w:right w:val="nil"/>
            </w:tcBorders>
            <w:noWrap w:val="0"/>
            <w:tcMar>
              <w:top w:w="0" w:type="dxa"/>
              <w:left w:w="108" w:type="dxa"/>
              <w:bottom w:w="0" w:type="dxa"/>
              <w:right w:w="108" w:type="dxa"/>
            </w:tcMar>
            <w:vAlign w:val="center"/>
          </w:tcPr>
          <w:p>
            <w:pPr>
              <w:widowControl/>
              <w:spacing w:line="360" w:lineRule="auto"/>
              <w:rPr>
                <w:rFonts w:hint="eastAsia" w:ascii="宋体" w:hAnsi="宋体" w:cs="宋体"/>
                <w:kern w:val="0"/>
                <w:sz w:val="24"/>
              </w:rPr>
            </w:pPr>
            <w:r>
              <w:rPr>
                <w:rFonts w:hint="eastAsia" w:ascii="宋体" w:hAnsi="宋体" w:cs="宋体"/>
                <w:kern w:val="0"/>
                <w:sz w:val="24"/>
              </w:rPr>
              <w:t>招标人：铜陵市城投房地产开发有限责任公司</w:t>
            </w:r>
          </w:p>
          <w:p>
            <w:pPr>
              <w:widowControl/>
              <w:spacing w:line="360" w:lineRule="auto"/>
              <w:rPr>
                <w:rFonts w:hint="eastAsia" w:ascii="宋体" w:hAnsi="宋体" w:cs="宋体"/>
                <w:kern w:val="0"/>
                <w:sz w:val="24"/>
              </w:rPr>
            </w:pPr>
            <w:r>
              <w:rPr>
                <w:rFonts w:hint="eastAsia" w:ascii="宋体" w:hAnsi="宋体" w:cs="宋体"/>
                <w:kern w:val="0"/>
                <w:sz w:val="24"/>
              </w:rPr>
              <w:t>地 址：铜陵市北京东路2199号</w:t>
            </w:r>
          </w:p>
          <w:p>
            <w:pPr>
              <w:widowControl/>
              <w:spacing w:line="360" w:lineRule="auto"/>
              <w:rPr>
                <w:rFonts w:hint="eastAsia" w:ascii="宋体" w:hAnsi="宋体" w:cs="宋体"/>
                <w:kern w:val="0"/>
                <w:sz w:val="24"/>
              </w:rPr>
            </w:pPr>
            <w:r>
              <w:rPr>
                <w:rFonts w:hint="eastAsia" w:ascii="宋体" w:hAnsi="宋体" w:cs="宋体"/>
                <w:kern w:val="0"/>
                <w:sz w:val="24"/>
              </w:rPr>
              <w:t>邮 编：244000</w:t>
            </w:r>
          </w:p>
          <w:p>
            <w:pPr>
              <w:widowControl/>
              <w:spacing w:line="360" w:lineRule="auto"/>
              <w:rPr>
                <w:rFonts w:hint="eastAsia" w:ascii="宋体" w:hAnsi="宋体" w:cs="宋体"/>
                <w:kern w:val="0"/>
                <w:sz w:val="24"/>
              </w:rPr>
            </w:pPr>
            <w:r>
              <w:rPr>
                <w:rFonts w:hint="eastAsia" w:ascii="宋体" w:hAnsi="宋体" w:cs="宋体"/>
                <w:kern w:val="0"/>
                <w:sz w:val="24"/>
              </w:rPr>
              <w:t>联系人：  刘工</w:t>
            </w:r>
          </w:p>
          <w:p>
            <w:pPr>
              <w:widowControl/>
              <w:spacing w:line="360" w:lineRule="auto"/>
              <w:rPr>
                <w:rFonts w:ascii="宋体" w:hAnsi="宋体" w:cs="宋体"/>
                <w:kern w:val="0"/>
                <w:sz w:val="24"/>
              </w:rPr>
            </w:pPr>
            <w:r>
              <w:rPr>
                <w:rFonts w:hint="eastAsia" w:ascii="宋体" w:hAnsi="宋体" w:cs="宋体"/>
                <w:kern w:val="0"/>
                <w:sz w:val="24"/>
              </w:rPr>
              <w:t>电 话：</w:t>
            </w:r>
            <w:bookmarkStart w:id="2" w:name="OLE_LINK4"/>
            <w:r>
              <w:rPr>
                <w:rFonts w:hint="eastAsia" w:ascii="宋体" w:hAnsi="宋体" w:cs="宋体"/>
                <w:kern w:val="0"/>
                <w:sz w:val="24"/>
              </w:rPr>
              <w:t>0562-2887564</w:t>
            </w:r>
            <w:bookmarkEnd w:id="2"/>
          </w:p>
        </w:tc>
        <w:tc>
          <w:tcPr>
            <w:tcW w:w="4796" w:type="dxa"/>
            <w:tcBorders>
              <w:top w:val="nil"/>
              <w:left w:val="nil"/>
              <w:bottom w:val="nil"/>
              <w:right w:val="nil"/>
            </w:tcBorders>
            <w:noWrap w:val="0"/>
            <w:tcMar>
              <w:top w:w="0" w:type="dxa"/>
              <w:left w:w="108" w:type="dxa"/>
              <w:bottom w:w="0" w:type="dxa"/>
              <w:right w:w="108" w:type="dxa"/>
            </w:tcMar>
            <w:vAlign w:val="center"/>
          </w:tcPr>
          <w:p>
            <w:pPr>
              <w:widowControl/>
              <w:spacing w:line="360" w:lineRule="auto"/>
              <w:rPr>
                <w:rFonts w:hint="eastAsia" w:ascii="宋体" w:hAnsi="宋体" w:cs="宋体"/>
                <w:kern w:val="0"/>
                <w:sz w:val="24"/>
              </w:rPr>
            </w:pPr>
            <w:r>
              <w:rPr>
                <w:rFonts w:hint="eastAsia" w:ascii="宋体" w:hAnsi="宋体" w:cs="宋体"/>
                <w:kern w:val="0"/>
                <w:sz w:val="24"/>
              </w:rPr>
              <w:t>招标代理人：上海沪谊工程造价咨询有限公司</w:t>
            </w:r>
          </w:p>
          <w:p>
            <w:pPr>
              <w:widowControl/>
              <w:spacing w:line="360" w:lineRule="auto"/>
              <w:rPr>
                <w:rFonts w:hint="eastAsia" w:ascii="宋体" w:hAnsi="宋体" w:cs="宋体"/>
                <w:kern w:val="0"/>
                <w:sz w:val="24"/>
              </w:rPr>
            </w:pPr>
            <w:r>
              <w:rPr>
                <w:rFonts w:hint="eastAsia" w:ascii="宋体" w:hAnsi="宋体" w:cs="宋体"/>
                <w:kern w:val="0"/>
                <w:sz w:val="24"/>
              </w:rPr>
              <w:t>地 址：铜陵市绿源大市场三期</w:t>
            </w:r>
          </w:p>
          <w:p>
            <w:pPr>
              <w:widowControl/>
              <w:spacing w:line="360" w:lineRule="auto"/>
              <w:rPr>
                <w:rFonts w:hint="eastAsia" w:ascii="宋体" w:hAnsi="宋体" w:cs="宋体"/>
                <w:kern w:val="0"/>
                <w:sz w:val="24"/>
              </w:rPr>
            </w:pPr>
            <w:r>
              <w:rPr>
                <w:rFonts w:hint="eastAsia" w:ascii="宋体" w:hAnsi="宋体" w:cs="宋体"/>
                <w:kern w:val="0"/>
                <w:sz w:val="24"/>
              </w:rPr>
              <w:t>邮 编：</w:t>
            </w:r>
            <w:bookmarkStart w:id="3" w:name="OLE_LINK2"/>
            <w:r>
              <w:rPr>
                <w:rFonts w:hint="eastAsia" w:ascii="宋体" w:hAnsi="宋体" w:cs="宋体"/>
                <w:kern w:val="0"/>
                <w:sz w:val="24"/>
              </w:rPr>
              <w:t>244000</w:t>
            </w:r>
            <w:bookmarkEnd w:id="3"/>
          </w:p>
          <w:p>
            <w:pPr>
              <w:widowControl/>
              <w:spacing w:line="360" w:lineRule="auto"/>
              <w:rPr>
                <w:rFonts w:ascii="宋体" w:hAnsi="宋体" w:cs="宋体"/>
                <w:kern w:val="0"/>
                <w:sz w:val="24"/>
              </w:rPr>
            </w:pPr>
            <w:r>
              <w:rPr>
                <w:rFonts w:hint="eastAsia" w:ascii="宋体" w:hAnsi="宋体" w:cs="宋体"/>
                <w:kern w:val="0"/>
                <w:sz w:val="24"/>
              </w:rPr>
              <w:t>联系人：叶工</w:t>
            </w:r>
          </w:p>
          <w:p>
            <w:pPr>
              <w:widowControl/>
              <w:spacing w:line="360" w:lineRule="auto"/>
              <w:rPr>
                <w:rFonts w:ascii="宋体" w:hAnsi="宋体" w:cs="宋体"/>
                <w:kern w:val="0"/>
                <w:sz w:val="24"/>
              </w:rPr>
            </w:pPr>
            <w:r>
              <w:rPr>
                <w:rFonts w:hint="eastAsia" w:ascii="宋体" w:hAnsi="宋体" w:cs="宋体"/>
                <w:kern w:val="0"/>
                <w:sz w:val="24"/>
              </w:rPr>
              <w:t>电 话：</w:t>
            </w:r>
            <w:r>
              <w:rPr>
                <w:rFonts w:hint="eastAsia" w:ascii="宋体" w:hAnsi="宋体" w:cs="宋体"/>
                <w:sz w:val="24"/>
              </w:rPr>
              <w:t>13635596510</w:t>
            </w:r>
          </w:p>
        </w:tc>
      </w:tr>
    </w:tbl>
    <w:p>
      <w:pPr>
        <w:widowControl/>
        <w:spacing w:line="440" w:lineRule="exact"/>
        <w:ind w:firstLine="482" w:firstLineChars="200"/>
        <w:jc w:val="left"/>
        <w:rPr>
          <w:rFonts w:hint="eastAsia" w:ascii="宋体" w:hAnsi="宋体" w:cs="宋体"/>
          <w:b/>
          <w:bCs/>
          <w:kern w:val="0"/>
          <w:sz w:val="24"/>
        </w:rPr>
      </w:pPr>
      <w:r>
        <w:rPr>
          <w:rFonts w:hint="eastAsia" w:ascii="宋体" w:hAnsi="宋体" w:cs="宋体"/>
          <w:b/>
          <w:bCs/>
          <w:kern w:val="0"/>
          <w:sz w:val="24"/>
        </w:rPr>
        <w:t>七. 保证金</w:t>
      </w:r>
    </w:p>
    <w:p>
      <w:pPr>
        <w:widowControl/>
        <w:spacing w:line="360" w:lineRule="auto"/>
        <w:ind w:left="420" w:leftChars="200"/>
        <w:jc w:val="left"/>
        <w:rPr>
          <w:rFonts w:hint="eastAsia" w:ascii="宋体" w:hAnsi="宋体" w:cs="宋体"/>
          <w:b/>
          <w:bCs/>
          <w:color w:val="000000" w:themeColor="text1"/>
          <w:kern w:val="0"/>
          <w:sz w:val="24"/>
          <w:szCs w:val="20"/>
          <w:highlight w:val="none"/>
          <w:u w:val="single"/>
          <w14:textFill>
            <w14:solidFill>
              <w14:schemeClr w14:val="tx1"/>
            </w14:solidFill>
          </w14:textFill>
        </w:rPr>
      </w:pPr>
      <w:r>
        <w:rPr>
          <w:rFonts w:hint="eastAsia" w:ascii="宋体" w:hAnsi="宋体" w:cs="宋体"/>
          <w:color w:val="000000" w:themeColor="text1"/>
          <w:kern w:val="0"/>
          <w:sz w:val="24"/>
          <w:szCs w:val="20"/>
          <w:highlight w:val="none"/>
          <w14:textFill>
            <w14:solidFill>
              <w14:schemeClr w14:val="tx1"/>
            </w14:solidFill>
          </w14:textFill>
        </w:rPr>
        <w:t>本项目投标保证金金额为</w:t>
      </w:r>
      <w:r>
        <w:rPr>
          <w:rFonts w:hint="eastAsia" w:ascii="宋体" w:hAnsi="宋体" w:cs="宋体"/>
          <w:color w:val="000000" w:themeColor="text1"/>
          <w:kern w:val="0"/>
          <w:sz w:val="24"/>
          <w:szCs w:val="20"/>
          <w:highlight w:val="none"/>
          <w:u w:val="single"/>
          <w14:textFill>
            <w14:solidFill>
              <w14:schemeClr w14:val="tx1"/>
            </w14:solidFill>
          </w14:textFill>
        </w:rPr>
        <w:t>2.9</w:t>
      </w:r>
      <w:r>
        <w:rPr>
          <w:rFonts w:hint="eastAsia" w:ascii="宋体" w:hAnsi="宋体" w:cs="宋体"/>
          <w:color w:val="000000" w:themeColor="text1"/>
          <w:kern w:val="0"/>
          <w:sz w:val="24"/>
          <w:szCs w:val="20"/>
          <w:highlight w:val="none"/>
          <w14:textFill>
            <w14:solidFill>
              <w14:schemeClr w14:val="tx1"/>
            </w14:solidFill>
          </w14:textFill>
        </w:rPr>
        <w:t>万元，可用转账、保函、保证保险等方式缴纳。</w:t>
      </w:r>
    </w:p>
    <w:p>
      <w:pPr>
        <w:widowControl/>
        <w:spacing w:line="360" w:lineRule="auto"/>
        <w:ind w:left="420" w:leftChars="200"/>
        <w:jc w:val="left"/>
        <w:rPr>
          <w:rFonts w:hint="eastAsia" w:ascii="宋体" w:hAnsi="宋体" w:cs="宋体"/>
          <w:color w:val="000000" w:themeColor="text1"/>
          <w:kern w:val="0"/>
          <w:sz w:val="24"/>
          <w:szCs w:val="20"/>
          <w:highlight w:val="none"/>
          <w14:textFill>
            <w14:solidFill>
              <w14:schemeClr w14:val="tx1"/>
            </w14:solidFill>
          </w14:textFill>
        </w:rPr>
      </w:pPr>
      <w:r>
        <w:rPr>
          <w:rFonts w:hint="eastAsia" w:ascii="宋体" w:hAnsi="宋体" w:cs="宋体"/>
          <w:color w:val="000000" w:themeColor="text1"/>
          <w:kern w:val="0"/>
          <w:sz w:val="24"/>
          <w:szCs w:val="20"/>
          <w:highlight w:val="none"/>
          <w14:textFill>
            <w14:solidFill>
              <w14:schemeClr w14:val="tx1"/>
            </w14:solidFill>
          </w14:textFill>
        </w:rPr>
        <w:t>转账形式的保证金请缴至以下账号：</w:t>
      </w:r>
    </w:p>
    <w:p>
      <w:pPr>
        <w:widowControl/>
        <w:spacing w:line="360" w:lineRule="auto"/>
        <w:ind w:left="420" w:leftChars="200"/>
        <w:jc w:val="left"/>
        <w:rPr>
          <w:rFonts w:hint="eastAsia" w:ascii="宋体" w:hAnsi="宋体" w:cs="宋体"/>
          <w:color w:val="000000" w:themeColor="text1"/>
          <w:kern w:val="0"/>
          <w:sz w:val="24"/>
          <w:szCs w:val="20"/>
          <w:highlight w:val="none"/>
          <w14:textFill>
            <w14:solidFill>
              <w14:schemeClr w14:val="tx1"/>
            </w14:solidFill>
          </w14:textFill>
        </w:rPr>
      </w:pPr>
      <w:r>
        <w:rPr>
          <w:rFonts w:hint="eastAsia" w:ascii="宋体" w:hAnsi="宋体" w:cs="宋体"/>
          <w:color w:val="000000" w:themeColor="text1"/>
          <w:kern w:val="0"/>
          <w:sz w:val="24"/>
          <w:szCs w:val="20"/>
          <w:highlight w:val="none"/>
          <w14:textFill>
            <w14:solidFill>
              <w14:schemeClr w14:val="tx1"/>
            </w14:solidFill>
          </w14:textFill>
        </w:rPr>
        <w:t>户名：上海沪谊工程造价咨询有限公司安徽分公司</w:t>
      </w:r>
    </w:p>
    <w:p>
      <w:pPr>
        <w:widowControl/>
        <w:spacing w:line="360" w:lineRule="auto"/>
        <w:ind w:left="420" w:leftChars="200"/>
        <w:jc w:val="left"/>
        <w:rPr>
          <w:rFonts w:hint="eastAsia" w:ascii="宋体" w:hAnsi="宋体" w:cs="宋体"/>
          <w:color w:val="000000" w:themeColor="text1"/>
          <w:kern w:val="0"/>
          <w:sz w:val="24"/>
          <w:szCs w:val="20"/>
          <w:highlight w:val="none"/>
          <w14:textFill>
            <w14:solidFill>
              <w14:schemeClr w14:val="tx1"/>
            </w14:solidFill>
          </w14:textFill>
        </w:rPr>
      </w:pPr>
      <w:r>
        <w:rPr>
          <w:rFonts w:hint="eastAsia" w:ascii="宋体" w:hAnsi="宋体" w:cs="宋体"/>
          <w:color w:val="000000" w:themeColor="text1"/>
          <w:kern w:val="0"/>
          <w:sz w:val="24"/>
          <w:szCs w:val="20"/>
          <w:highlight w:val="none"/>
          <w14:textFill>
            <w14:solidFill>
              <w14:schemeClr w14:val="tx1"/>
            </w14:solidFill>
          </w14:textFill>
        </w:rPr>
        <w:t>账号：1020 9010 2100 1134 838</w:t>
      </w:r>
    </w:p>
    <w:p>
      <w:pPr>
        <w:widowControl/>
        <w:spacing w:line="360" w:lineRule="auto"/>
        <w:ind w:left="420" w:leftChars="200"/>
        <w:jc w:val="left"/>
        <w:rPr>
          <w:rFonts w:hint="eastAsia" w:ascii="宋体" w:hAnsi="宋体" w:cs="宋体"/>
          <w:color w:val="000000" w:themeColor="text1"/>
          <w:kern w:val="0"/>
          <w:sz w:val="24"/>
          <w:szCs w:val="20"/>
          <w:highlight w:val="none"/>
          <w14:textFill>
            <w14:solidFill>
              <w14:schemeClr w14:val="tx1"/>
            </w14:solidFill>
          </w14:textFill>
        </w:rPr>
      </w:pPr>
      <w:r>
        <w:rPr>
          <w:rFonts w:hint="eastAsia" w:ascii="宋体" w:hAnsi="宋体" w:cs="宋体"/>
          <w:color w:val="000000" w:themeColor="text1"/>
          <w:kern w:val="0"/>
          <w:sz w:val="24"/>
          <w:szCs w:val="20"/>
          <w:highlight w:val="none"/>
          <w14:textFill>
            <w14:solidFill>
              <w14:schemeClr w14:val="tx1"/>
            </w14:solidFill>
          </w14:textFill>
        </w:rPr>
        <w:t>开户银行：徽商银行合肥包河支行</w:t>
      </w:r>
    </w:p>
    <w:p>
      <w:pPr>
        <w:pStyle w:val="2"/>
        <w:ind w:firstLine="400"/>
        <w:rPr>
          <w:color w:val="000000" w:themeColor="text1"/>
          <w:highlight w:val="none"/>
          <w14:textFill>
            <w14:solidFill>
              <w14:schemeClr w14:val="tx1"/>
            </w14:solidFill>
          </w14:textFill>
        </w:rPr>
      </w:pPr>
    </w:p>
    <w:p>
      <w:pPr>
        <w:widowControl/>
        <w:spacing w:line="440" w:lineRule="exact"/>
        <w:ind w:firstLine="482" w:firstLineChars="200"/>
        <w:jc w:val="left"/>
        <w:rPr>
          <w:rFonts w:hint="eastAsia"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八. 投标截止时间及地点、开标时间及地点</w:t>
      </w:r>
    </w:p>
    <w:p>
      <w:pPr>
        <w:pStyle w:val="2"/>
        <w:spacing w:line="360" w:lineRule="auto"/>
        <w:ind w:firstLine="480"/>
        <w:rPr>
          <w:rFonts w:hint="eastAsia" w:ascii="宋体" w:hAnsi="宋体" w:cs="宋体"/>
          <w:sz w:val="24"/>
        </w:rPr>
      </w:pPr>
      <w:r>
        <w:rPr>
          <w:rFonts w:hint="eastAsia" w:ascii="宋体" w:hAnsi="宋体" w:cs="宋体"/>
          <w:color w:val="000000" w:themeColor="text1"/>
          <w:sz w:val="24"/>
          <w:highlight w:val="none"/>
          <w14:textFill>
            <w14:solidFill>
              <w14:schemeClr w14:val="tx1"/>
            </w14:solidFill>
          </w14:textFill>
        </w:rPr>
        <w:t>1、开标时间：</w:t>
      </w:r>
      <w:r>
        <w:rPr>
          <w:rFonts w:hint="eastAsia" w:ascii="宋体" w:hAnsi="宋体" w:cs="宋体"/>
          <w:color w:val="000000" w:themeColor="text1"/>
          <w:sz w:val="24"/>
          <w:highlight w:val="none"/>
          <w:u w:val="single"/>
          <w14:textFill>
            <w14:solidFill>
              <w14:schemeClr w14:val="tx1"/>
            </w14:solidFill>
          </w14:textFill>
        </w:rPr>
        <w:t>2021</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21</w:t>
      </w:r>
      <w:bookmarkStart w:id="4" w:name="_GoBack"/>
      <w:bookmarkEnd w:id="4"/>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日上</w:t>
      </w:r>
      <w:r>
        <w:rPr>
          <w:rFonts w:hint="eastAsia" w:ascii="宋体" w:hAnsi="宋体" w:cs="宋体"/>
          <w:sz w:val="24"/>
        </w:rPr>
        <w:t>午</w:t>
      </w:r>
      <w:r>
        <w:rPr>
          <w:rFonts w:hint="eastAsia" w:ascii="宋体" w:hAnsi="宋体" w:cs="宋体"/>
          <w:sz w:val="24"/>
          <w:u w:val="single"/>
        </w:rPr>
        <w:t>9:00</w:t>
      </w:r>
      <w:r>
        <w:rPr>
          <w:rFonts w:hint="eastAsia" w:ascii="宋体" w:hAnsi="宋体" w:cs="宋体"/>
          <w:sz w:val="24"/>
        </w:rPr>
        <w:t>。</w:t>
      </w:r>
    </w:p>
    <w:p>
      <w:pPr>
        <w:pStyle w:val="2"/>
        <w:spacing w:line="360" w:lineRule="auto"/>
        <w:ind w:firstLine="480"/>
        <w:rPr>
          <w:rFonts w:hint="eastAsia" w:ascii="宋体" w:hAnsi="宋体" w:cs="宋体"/>
          <w:sz w:val="24"/>
        </w:rPr>
      </w:pPr>
      <w:r>
        <w:rPr>
          <w:rFonts w:hint="eastAsia" w:ascii="宋体" w:hAnsi="宋体" w:cs="宋体"/>
          <w:sz w:val="24"/>
        </w:rPr>
        <w:t>2、开标地点：上海沪谊工程造价咨询有限公司铜陵分公司。</w:t>
      </w:r>
      <w:r>
        <w:rPr>
          <w:rFonts w:hint="eastAsia" w:ascii="宋体" w:hAnsi="宋体" w:cs="宋体"/>
          <w:sz w:val="24"/>
          <w:u w:val="single"/>
        </w:rPr>
        <w:t>（详细地址：安徽省铜陵市铜官区铜都大道绿源大市场三期29#4楼）</w:t>
      </w:r>
    </w:p>
    <w:p>
      <w:pPr>
        <w:pStyle w:val="2"/>
        <w:spacing w:line="360" w:lineRule="auto"/>
        <w:ind w:firstLine="480"/>
        <w:rPr>
          <w:rFonts w:hint="eastAsia" w:ascii="宋体" w:hAnsi="宋体" w:cs="宋体"/>
          <w:sz w:val="24"/>
        </w:rPr>
      </w:pPr>
      <w:r>
        <w:rPr>
          <w:rFonts w:hint="eastAsia" w:ascii="宋体" w:hAnsi="宋体" w:cs="宋体"/>
          <w:sz w:val="24"/>
        </w:rPr>
        <w:t>3、投标截止时间同开标时间。</w:t>
      </w:r>
    </w:p>
    <w:p>
      <w:pPr>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4C422A"/>
    <w:rsid w:val="0FAE5368"/>
    <w:rsid w:val="14A4675B"/>
    <w:rsid w:val="21542CB8"/>
    <w:rsid w:val="223D2888"/>
    <w:rsid w:val="2F072EE5"/>
    <w:rsid w:val="642C5A38"/>
    <w:rsid w:val="67C91254"/>
    <w:rsid w:val="704C4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kern w:val="0"/>
      <w:sz w:val="20"/>
    </w:rPr>
  </w:style>
  <w:style w:type="paragraph" w:styleId="3">
    <w:name w:val="Body Text Indent"/>
    <w:basedOn w:val="1"/>
    <w:next w:val="4"/>
    <w:qFormat/>
    <w:uiPriority w:val="0"/>
    <w:pPr>
      <w:spacing w:after="120" w:afterLines="0"/>
      <w:ind w:left="420" w:leftChars="200"/>
    </w:pPr>
  </w:style>
  <w:style w:type="paragraph" w:styleId="4">
    <w:name w:val="envelope return"/>
    <w:basedOn w:val="1"/>
    <w:qFormat/>
    <w:uiPriority w:val="0"/>
    <w:pPr>
      <w:snapToGrid w:val="0"/>
    </w:pPr>
    <w:rPr>
      <w:rFonts w:ascii="Arial" w:hAnsi="Arial" w:cs="Arial"/>
    </w:rPr>
  </w:style>
  <w:style w:type="paragraph" w:styleId="5">
    <w:name w:val="Normal Indent"/>
    <w:basedOn w:val="1"/>
    <w:qFormat/>
    <w:uiPriority w:val="0"/>
    <w:pPr>
      <w:ind w:firstLine="420" w:firstLineChars="200"/>
    </w:pPr>
  </w:style>
  <w:style w:type="paragraph" w:styleId="6">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character" w:styleId="9">
    <w:name w:val="Strong"/>
    <w:basedOn w:val="8"/>
    <w:qFormat/>
    <w:uiPriority w:val="0"/>
  </w:style>
  <w:style w:type="character" w:styleId="10">
    <w:name w:val="FollowedHyperlink"/>
    <w:basedOn w:val="8"/>
    <w:qFormat/>
    <w:uiPriority w:val="0"/>
    <w:rPr>
      <w:color w:val="800080"/>
      <w:u w:val="none"/>
    </w:rPr>
  </w:style>
  <w:style w:type="character" w:styleId="11">
    <w:name w:val="Emphasis"/>
    <w:basedOn w:val="8"/>
    <w:qFormat/>
    <w:uiPriority w:val="0"/>
  </w:style>
  <w:style w:type="character" w:styleId="12">
    <w:name w:val="HTML Definition"/>
    <w:basedOn w:val="8"/>
    <w:qFormat/>
    <w:uiPriority w:val="0"/>
  </w:style>
  <w:style w:type="character" w:styleId="13">
    <w:name w:val="HTML Typewriter"/>
    <w:basedOn w:val="8"/>
    <w:qFormat/>
    <w:uiPriority w:val="0"/>
    <w:rPr>
      <w:rFonts w:ascii="monospace" w:hAnsi="monospace" w:eastAsia="monospace" w:cs="monospace"/>
      <w:sz w:val="20"/>
    </w:rPr>
  </w:style>
  <w:style w:type="character" w:styleId="14">
    <w:name w:val="HTML Acronym"/>
    <w:basedOn w:val="8"/>
    <w:qFormat/>
    <w:uiPriority w:val="0"/>
  </w:style>
  <w:style w:type="character" w:styleId="15">
    <w:name w:val="HTML Variable"/>
    <w:basedOn w:val="8"/>
    <w:qFormat/>
    <w:uiPriority w:val="0"/>
  </w:style>
  <w:style w:type="character" w:styleId="16">
    <w:name w:val="Hyperlink"/>
    <w:basedOn w:val="8"/>
    <w:qFormat/>
    <w:uiPriority w:val="0"/>
    <w:rPr>
      <w:color w:val="0000FF"/>
      <w:u w:val="none"/>
    </w:rPr>
  </w:style>
  <w:style w:type="character" w:styleId="17">
    <w:name w:val="HTML Code"/>
    <w:basedOn w:val="8"/>
    <w:qFormat/>
    <w:uiPriority w:val="0"/>
    <w:rPr>
      <w:rFonts w:hint="default" w:ascii="monospace" w:hAnsi="monospace" w:eastAsia="monospace" w:cs="monospace"/>
      <w:sz w:val="20"/>
    </w:rPr>
  </w:style>
  <w:style w:type="character" w:styleId="18">
    <w:name w:val="HTML Cite"/>
    <w:basedOn w:val="8"/>
    <w:qFormat/>
    <w:uiPriority w:val="0"/>
  </w:style>
  <w:style w:type="character" w:styleId="19">
    <w:name w:val="HTML Keyboard"/>
    <w:basedOn w:val="8"/>
    <w:qFormat/>
    <w:uiPriority w:val="0"/>
    <w:rPr>
      <w:rFonts w:hint="default" w:ascii="monospace" w:hAnsi="monospace" w:eastAsia="monospace" w:cs="monospace"/>
      <w:sz w:val="20"/>
    </w:rPr>
  </w:style>
  <w:style w:type="character" w:styleId="20">
    <w:name w:val="HTML Sample"/>
    <w:basedOn w:val="8"/>
    <w:uiPriority w:val="0"/>
    <w:rPr>
      <w:rFonts w:hint="default" w:ascii="monospace" w:hAnsi="monospace" w:eastAsia="monospace" w:cs="monospace"/>
    </w:rPr>
  </w:style>
  <w:style w:type="character" w:customStyle="1" w:styleId="21">
    <w:name w:val="bds_more"/>
    <w:basedOn w:val="8"/>
    <w:qFormat/>
    <w:uiPriority w:val="0"/>
  </w:style>
  <w:style w:type="character" w:customStyle="1" w:styleId="22">
    <w:name w:val="bds_more1"/>
    <w:basedOn w:val="8"/>
    <w:qFormat/>
    <w:uiPriority w:val="0"/>
    <w:rPr>
      <w:rFonts w:hint="eastAsia" w:ascii="宋体" w:hAnsi="宋体" w:eastAsia="宋体" w:cs="宋体"/>
    </w:rPr>
  </w:style>
  <w:style w:type="character" w:customStyle="1" w:styleId="23">
    <w:name w:val="bds_more2"/>
    <w:basedOn w:val="8"/>
    <w:qFormat/>
    <w:uiPriority w:val="0"/>
    <w:rPr>
      <w:rFonts w:ascii="宋体 ! important" w:hAnsi="宋体 ! important" w:eastAsia="宋体 ! important" w:cs="宋体 ! important"/>
      <w:color w:val="454545"/>
      <w:sz w:val="14"/>
      <w:szCs w:val="14"/>
    </w:rPr>
  </w:style>
  <w:style w:type="character" w:customStyle="1" w:styleId="24">
    <w:name w:val="bds_nopic"/>
    <w:basedOn w:val="8"/>
    <w:qFormat/>
    <w:uiPriority w:val="0"/>
  </w:style>
  <w:style w:type="character" w:customStyle="1" w:styleId="25">
    <w:name w:val="bds_nopic1"/>
    <w:basedOn w:val="8"/>
    <w:uiPriority w:val="0"/>
  </w:style>
  <w:style w:type="character" w:customStyle="1" w:styleId="26">
    <w:name w:val="bds_nopic2"/>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2021-04-02T03:48:00Z</dcterms:created>
  <dc:creator>叶落知秋</dc:creator>
  <cp:lastModifiedBy>叶落知秋</cp:lastModifiedBy>
  <dcterms:modified xsi:type="dcterms:W3CDTF">2021-04-14T06:50:48Z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ABDC92A240D24E7D9FE8600DE67C6F67</vt:lpwstr>
  </property>
</Properties>
</file>